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2C" w:rsidRPr="00F84852" w:rsidRDefault="00DB642C" w:rsidP="00206188">
      <w:pPr>
        <w:widowControl w:val="0"/>
        <w:ind w:firstLine="720"/>
        <w:jc w:val="center"/>
        <w:rPr>
          <w:b/>
          <w:szCs w:val="28"/>
        </w:rPr>
      </w:pPr>
      <w:r w:rsidRPr="00F84852">
        <w:rPr>
          <w:b/>
          <w:szCs w:val="28"/>
        </w:rPr>
        <w:t>Итоги работы отдела контроля органов власти</w:t>
      </w:r>
      <w:r w:rsidR="00093369">
        <w:rPr>
          <w:b/>
          <w:szCs w:val="28"/>
        </w:rPr>
        <w:t>.</w:t>
      </w:r>
    </w:p>
    <w:p w:rsidR="00DB642C" w:rsidRPr="00F84852" w:rsidRDefault="00DB642C" w:rsidP="00DB642C">
      <w:pPr>
        <w:widowControl w:val="0"/>
        <w:ind w:firstLine="720"/>
        <w:jc w:val="both"/>
        <w:rPr>
          <w:b/>
          <w:szCs w:val="28"/>
        </w:rPr>
      </w:pPr>
    </w:p>
    <w:p w:rsidR="00DB642C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С начала 2021 года в отдел контроля органов власти на рассмотрение поступило 335 заявлений о признаках нарушений ст</w:t>
      </w:r>
      <w:r w:rsidR="00054EA6">
        <w:rPr>
          <w:sz w:val="28"/>
          <w:szCs w:val="28"/>
        </w:rPr>
        <w:t xml:space="preserve">атей </w:t>
      </w:r>
      <w:r w:rsidRPr="00F84852">
        <w:rPr>
          <w:sz w:val="28"/>
          <w:szCs w:val="28"/>
        </w:rPr>
        <w:t>15, 16, 17, 17.1, 19-20 Закона о защите конкуренции, из них.</w:t>
      </w:r>
    </w:p>
    <w:p w:rsidR="00516A3A" w:rsidRDefault="00516A3A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заявлений:</w:t>
      </w:r>
    </w:p>
    <w:p w:rsidR="00516A3A" w:rsidRDefault="00516A3A" w:rsidP="00516A3A">
      <w:pPr>
        <w:pStyle w:val="a9"/>
        <w:widowControl w:val="0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выдано 24 предупреждения</w:t>
      </w:r>
      <w:r w:rsidR="009A6320">
        <w:rPr>
          <w:sz w:val="28"/>
          <w:szCs w:val="28"/>
        </w:rPr>
        <w:t>, 1 предостережение</w:t>
      </w:r>
      <w:r>
        <w:rPr>
          <w:sz w:val="28"/>
          <w:szCs w:val="28"/>
        </w:rPr>
        <w:t>;</w:t>
      </w:r>
    </w:p>
    <w:p w:rsidR="00516A3A" w:rsidRDefault="00516A3A" w:rsidP="00516A3A">
      <w:pPr>
        <w:pStyle w:val="a9"/>
        <w:widowControl w:val="0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8 дел;</w:t>
      </w:r>
    </w:p>
    <w:p w:rsidR="00516A3A" w:rsidRDefault="009A6320" w:rsidP="00516A3A">
      <w:pPr>
        <w:pStyle w:val="a9"/>
        <w:widowControl w:val="0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выдано 1 предостережение.</w:t>
      </w:r>
    </w:p>
    <w:p w:rsidR="009A6320" w:rsidRDefault="009A6320" w:rsidP="009A6320">
      <w:pPr>
        <w:pStyle w:val="a9"/>
        <w:widowControl w:val="0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данные соответствуют показателям 2020 за аналогичный период, а именно:</w:t>
      </w:r>
    </w:p>
    <w:p w:rsidR="009A6320" w:rsidRDefault="009A6320" w:rsidP="009A6320">
      <w:pPr>
        <w:pStyle w:val="a9"/>
        <w:widowControl w:val="0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поступило 340 заявлений;</w:t>
      </w:r>
    </w:p>
    <w:p w:rsidR="009A6320" w:rsidRDefault="009A6320" w:rsidP="009A6320">
      <w:pPr>
        <w:pStyle w:val="a9"/>
        <w:widowControl w:val="0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выдано 18 предупреждений, 1 предостережение;</w:t>
      </w:r>
    </w:p>
    <w:p w:rsidR="009A6320" w:rsidRDefault="009A6320" w:rsidP="009A6320">
      <w:pPr>
        <w:pStyle w:val="a9"/>
        <w:widowControl w:val="0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возбуждено 9 дел;</w:t>
      </w:r>
    </w:p>
    <w:p w:rsidR="005B1A39" w:rsidRDefault="00DB642C" w:rsidP="005B1A39">
      <w:pPr>
        <w:pStyle w:val="a9"/>
        <w:widowControl w:val="0"/>
        <w:spacing w:before="0" w:beforeAutospacing="0" w:after="0"/>
        <w:ind w:firstLine="720"/>
        <w:jc w:val="both"/>
        <w:rPr>
          <w:iCs/>
          <w:sz w:val="28"/>
          <w:szCs w:val="28"/>
        </w:rPr>
      </w:pPr>
      <w:r w:rsidRPr="00F84852">
        <w:rPr>
          <w:sz w:val="28"/>
          <w:szCs w:val="28"/>
        </w:rPr>
        <w:t xml:space="preserve">В соответствии с Законом о защите конкуренции </w:t>
      </w:r>
      <w:r w:rsidRPr="00091651">
        <w:rPr>
          <w:iCs/>
          <w:sz w:val="28"/>
          <w:szCs w:val="28"/>
        </w:rPr>
        <w:t>если предупреждение выполняется, то дело о нарушении антимонопольного законодательства не возбуждается и лицо, выполнившее предупреждение, не подлежит административной ответственности за нарушение антимонопольного законодательства в связи с его устранением.</w:t>
      </w:r>
    </w:p>
    <w:p w:rsidR="009A6320" w:rsidRDefault="009A6320" w:rsidP="005B1A39">
      <w:pPr>
        <w:pStyle w:val="a9"/>
        <w:widowControl w:val="0"/>
        <w:spacing w:before="0" w:beforeAutospacing="0" w:after="0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24 выданных предупреждений 19 исполнено.</w:t>
      </w:r>
    </w:p>
    <w:p w:rsidR="00DB642C" w:rsidRPr="00F84852" w:rsidRDefault="00516A3A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случае, е</w:t>
      </w:r>
      <w:r w:rsidRPr="00091651">
        <w:rPr>
          <w:iCs/>
          <w:sz w:val="28"/>
          <w:szCs w:val="28"/>
        </w:rPr>
        <w:t>сли предупреждение не выполняется, то антимонопольный орган возбуждает дело о нарушении антимонопольного законодательства, которое рассматри</w:t>
      </w:r>
      <w:r w:rsidR="00D77E4A">
        <w:rPr>
          <w:iCs/>
          <w:sz w:val="28"/>
          <w:szCs w:val="28"/>
        </w:rPr>
        <w:t>вается по установленной Законом</w:t>
      </w:r>
      <w:bookmarkStart w:id="0" w:name="_GoBack"/>
      <w:bookmarkEnd w:id="0"/>
      <w:r w:rsidRPr="00091651">
        <w:rPr>
          <w:iCs/>
          <w:sz w:val="28"/>
          <w:szCs w:val="28"/>
        </w:rPr>
        <w:t xml:space="preserve"> о защите конкуренции процедуре</w:t>
      </w:r>
      <w:r w:rsidRPr="00091651">
        <w:rPr>
          <w:sz w:val="28"/>
          <w:szCs w:val="28"/>
        </w:rPr>
        <w:t>.</w:t>
      </w:r>
    </w:p>
    <w:p w:rsidR="00DB642C" w:rsidRPr="00F84852" w:rsidRDefault="005B1A39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="00DB642C" w:rsidRPr="00F84852">
        <w:rPr>
          <w:sz w:val="28"/>
          <w:szCs w:val="28"/>
        </w:rPr>
        <w:t xml:space="preserve"> выданных предупреждений связан</w:t>
      </w:r>
      <w:r>
        <w:rPr>
          <w:sz w:val="28"/>
          <w:szCs w:val="28"/>
        </w:rPr>
        <w:t>а</w:t>
      </w:r>
      <w:r w:rsidR="00DB642C" w:rsidRPr="00F84852">
        <w:rPr>
          <w:sz w:val="28"/>
          <w:szCs w:val="28"/>
        </w:rPr>
        <w:t xml:space="preserve"> </w:t>
      </w:r>
      <w:r>
        <w:rPr>
          <w:sz w:val="28"/>
          <w:szCs w:val="28"/>
        </w:rPr>
        <w:t>с не проведением</w:t>
      </w:r>
      <w:r w:rsidR="00DB642C" w:rsidRPr="00091651">
        <w:rPr>
          <w:sz w:val="28"/>
          <w:szCs w:val="28"/>
        </w:rPr>
        <w:t xml:space="preserve"> открытых конкурсов на выбор управляющих организаций для управления многоквартирными домами. Особенно это касается вновь введенных в эксплуатацию домо</w:t>
      </w:r>
      <w:r>
        <w:rPr>
          <w:sz w:val="28"/>
          <w:szCs w:val="28"/>
        </w:rPr>
        <w:t>в</w:t>
      </w:r>
      <w:r w:rsidR="00DB642C" w:rsidRPr="00091651">
        <w:rPr>
          <w:sz w:val="28"/>
          <w:szCs w:val="28"/>
        </w:rPr>
        <w:t>. Для объявления конкурса Администрации установлено 20 дней с момента выдачи разрешения на ввод МКД в эксплуатацию. Данный срок не соблюдается, в связи с чем Санкт-Петербургское УФАС России выдает предупреждения.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Так, по 2 предупреждения о необходимости проведения конкурсов на выбор управляющей организации для управления МКД выдано администрациям Приморского, Невского, Красногвардейского, Московского районов, по 1 – администрациям Красносельского, Адмиралтейского, Кировского районов.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Предупреждения исполняются путем объявления конкурсов, если на момент истечения срока, установленного для исполнения предупреждения, граждане-собственники самостоятельно не выбрали управляющую организацию на общем собрании.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В обоих случаях предупреждение признается исполненным.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Комитету по транспорту, в связи с необоснованным отказом перевозчику в предоставлении субсидий в 2021 году на осуществление перевозок пассажиров и багажа по маршрутам регулярных перевозок в автобусах, было выдано предупреждение о пересмотре решения об отказе. Предупреждение исполнено, </w:t>
      </w:r>
      <w:r w:rsidRPr="00F84852">
        <w:rPr>
          <w:sz w:val="28"/>
          <w:szCs w:val="28"/>
        </w:rPr>
        <w:lastRenderedPageBreak/>
        <w:t>перевозчику предоставлена субсидия.</w:t>
      </w:r>
    </w:p>
    <w:p w:rsidR="005B1A39" w:rsidRDefault="00DB642C" w:rsidP="005B1A39">
      <w:pPr>
        <w:pStyle w:val="a9"/>
        <w:shd w:val="clear" w:color="auto" w:fill="FFFFFF"/>
        <w:ind w:firstLine="720"/>
        <w:jc w:val="both"/>
        <w:rPr>
          <w:sz w:val="28"/>
          <w:szCs w:val="28"/>
        </w:rPr>
      </w:pPr>
      <w:r w:rsidRPr="00091651">
        <w:rPr>
          <w:sz w:val="28"/>
          <w:szCs w:val="28"/>
        </w:rPr>
        <w:t>Комитету имущественных отношений Санкт-Петербурга и Комитету по контролю за имуществом Санкт-Петербурга выдано предупреждение в связи с бездействием по освобождению земельных участков от незаконно (без договоров) размещенного на них торгового оборудования, что препятствует хозяйствующему субъекту, заключившему с КИО договор на размещение нестационарных торговых объектов, разместить свое оборудование и осуществлять предпринимательскую деятельность. В результате исполнения предупреждения, хозяйствующий субъект смог начать осуществлять деятельность.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По</w:t>
      </w:r>
      <w:r w:rsidR="00A413DA">
        <w:rPr>
          <w:sz w:val="28"/>
          <w:szCs w:val="28"/>
        </w:rPr>
        <w:t xml:space="preserve"> итогам рассмотрения</w:t>
      </w:r>
      <w:r w:rsidRPr="00F84852">
        <w:rPr>
          <w:sz w:val="28"/>
          <w:szCs w:val="28"/>
        </w:rPr>
        <w:t xml:space="preserve"> 5</w:t>
      </w:r>
      <w:r w:rsidR="00A413DA">
        <w:rPr>
          <w:sz w:val="28"/>
          <w:szCs w:val="28"/>
        </w:rPr>
        <w:t xml:space="preserve"> антимонопольных</w:t>
      </w:r>
      <w:r w:rsidRPr="00F84852">
        <w:rPr>
          <w:sz w:val="28"/>
          <w:szCs w:val="28"/>
        </w:rPr>
        <w:t xml:space="preserve"> дел признаны нарушения </w:t>
      </w:r>
      <w:r w:rsidR="00A413DA">
        <w:rPr>
          <w:sz w:val="28"/>
          <w:szCs w:val="28"/>
        </w:rPr>
        <w:t>Закона о защите конкуренции,</w:t>
      </w:r>
      <w:r w:rsidRPr="00F84852">
        <w:rPr>
          <w:sz w:val="28"/>
          <w:szCs w:val="28"/>
        </w:rPr>
        <w:t xml:space="preserve"> выданы предписания. </w:t>
      </w:r>
    </w:p>
    <w:p w:rsidR="00DB642C" w:rsidRPr="00F84852" w:rsidRDefault="00DB642C" w:rsidP="00DB642C">
      <w:pPr>
        <w:tabs>
          <w:tab w:val="num" w:pos="0"/>
        </w:tabs>
        <w:ind w:firstLine="720"/>
        <w:jc w:val="both"/>
        <w:rPr>
          <w:szCs w:val="28"/>
        </w:rPr>
      </w:pPr>
      <w:r w:rsidRPr="00F84852">
        <w:rPr>
          <w:szCs w:val="28"/>
        </w:rPr>
        <w:t>В действиях органов местного самоуправления неоднократно признавались нарушения ст</w:t>
      </w:r>
      <w:r w:rsidR="00054EA6">
        <w:rPr>
          <w:szCs w:val="28"/>
        </w:rPr>
        <w:t xml:space="preserve">атьи </w:t>
      </w:r>
      <w:r w:rsidRPr="00F84852">
        <w:rPr>
          <w:szCs w:val="28"/>
        </w:rPr>
        <w:t>17 Закона о защите конкуренции (запрет на ограничение конкуренции при проведении торгов), связанные с размещением информации о проведении закупок для муниципальных нужд и установлением срока подачи заявок для участия в таких закупках, течение которого совпадает с официальными выходными и нерабочими праздничными днями (новый год, майские праздники), что препятствует хозяйствующим субъектам, не обладающи</w:t>
      </w:r>
      <w:r w:rsidR="00A413DA">
        <w:rPr>
          <w:szCs w:val="28"/>
        </w:rPr>
        <w:t>м</w:t>
      </w:r>
      <w:r w:rsidRPr="00F84852">
        <w:rPr>
          <w:szCs w:val="28"/>
        </w:rPr>
        <w:t xml:space="preserve"> заранее информацией об объявлении таких закупок, подать заявки и претендовать на право заключения контрактов. </w:t>
      </w:r>
    </w:p>
    <w:p w:rsidR="00DB642C" w:rsidRPr="00F84852" w:rsidRDefault="00DB642C" w:rsidP="00DB642C">
      <w:pPr>
        <w:shd w:val="clear" w:color="auto" w:fill="FFFFFF"/>
        <w:ind w:firstLine="720"/>
        <w:jc w:val="both"/>
        <w:rPr>
          <w:szCs w:val="28"/>
        </w:rPr>
      </w:pPr>
      <w:r w:rsidRPr="00F84852">
        <w:rPr>
          <w:szCs w:val="28"/>
        </w:rPr>
        <w:t>В связи с неисполнением предупреждения было возбуждено дело в отношении Комитета имущественных отношений по статье 15 Закона о защите конкуренции (запрет на ограничивающие конкуренцию акты и действия органов власти), который заключил с хозяйствующим субъектом без проведения торгов договор безвозмездного пользования государственными помещениями при наличии нескольких претендентов на данные помещения, что привело к недопущению конкуренции за право доступа к государственному имуществу с целью осуществления уставной деятельности. По результатам рассмотрения дела в действиях Комитета было признано нарушение антимонопольного законодательства и выдано предписание о прекращении нарушения антимонопольного законодательства путем принятия мер по возврату имущества.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Предписание исполнено.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3 дела прекращены в связи с отсутствием нарушения антимонопольного законодательства. 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В связи с неисполнением предупреждения о необходимости проведения конкурса </w:t>
      </w:r>
      <w:r w:rsidRPr="00091651">
        <w:rPr>
          <w:sz w:val="28"/>
          <w:szCs w:val="28"/>
        </w:rPr>
        <w:t xml:space="preserve">на выбор управляющих организаций для управления МКД было возбуждено дело по статье 15 Закона о защите конкуренции (запрет на ограничивающие конкуренцию акты и действия органов власти). В ходе рассмотрения дела </w:t>
      </w:r>
      <w:r w:rsidRPr="00F84852">
        <w:rPr>
          <w:sz w:val="28"/>
          <w:szCs w:val="28"/>
        </w:rPr>
        <w:t>администрация объявила конкурс, в связи с чем дело было прекращено.</w:t>
      </w:r>
    </w:p>
    <w:p w:rsidR="00DB642C" w:rsidRPr="00091651" w:rsidRDefault="00DB642C" w:rsidP="00DB642C">
      <w:pPr>
        <w:pStyle w:val="a9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lastRenderedPageBreak/>
        <w:t>По результатам рассмотрения заявления ЖСК о признаках нарушения в действиях Государственной жилищной инспекци</w:t>
      </w:r>
      <w:r w:rsidR="00206188">
        <w:rPr>
          <w:sz w:val="28"/>
          <w:szCs w:val="28"/>
        </w:rPr>
        <w:t>и</w:t>
      </w:r>
      <w:r w:rsidRPr="00F84852">
        <w:rPr>
          <w:sz w:val="28"/>
          <w:szCs w:val="28"/>
        </w:rPr>
        <w:t xml:space="preserve"> и управляющей организаци</w:t>
      </w:r>
      <w:r w:rsidR="00206188">
        <w:rPr>
          <w:sz w:val="28"/>
          <w:szCs w:val="28"/>
        </w:rPr>
        <w:t>и</w:t>
      </w:r>
      <w:r w:rsidRPr="00F84852">
        <w:rPr>
          <w:sz w:val="28"/>
          <w:szCs w:val="28"/>
        </w:rPr>
        <w:t>, направленн</w:t>
      </w:r>
      <w:r w:rsidR="00206188">
        <w:rPr>
          <w:sz w:val="28"/>
          <w:szCs w:val="28"/>
        </w:rPr>
        <w:t>ого</w:t>
      </w:r>
      <w:r w:rsidRPr="00F84852">
        <w:rPr>
          <w:sz w:val="28"/>
          <w:szCs w:val="28"/>
        </w:rPr>
        <w:t xml:space="preserve"> на устранени</w:t>
      </w:r>
      <w:r w:rsidR="00206188">
        <w:rPr>
          <w:sz w:val="28"/>
          <w:szCs w:val="28"/>
        </w:rPr>
        <w:t>е</w:t>
      </w:r>
      <w:r w:rsidRPr="00F84852">
        <w:rPr>
          <w:sz w:val="28"/>
          <w:szCs w:val="28"/>
        </w:rPr>
        <w:t xml:space="preserve"> ЖСК от управления МКД, было возбуждено дело по статье 16 Закона о защите конкуренции (запрет на </w:t>
      </w:r>
      <w:proofErr w:type="spellStart"/>
      <w:r w:rsidRPr="00F84852">
        <w:rPr>
          <w:sz w:val="28"/>
          <w:szCs w:val="28"/>
        </w:rPr>
        <w:t>антиконкурентные</w:t>
      </w:r>
      <w:proofErr w:type="spellEnd"/>
      <w:r w:rsidRPr="00F84852">
        <w:rPr>
          <w:sz w:val="28"/>
          <w:szCs w:val="28"/>
        </w:rPr>
        <w:t xml:space="preserve"> соглашения/согласованные действия). В процессе рассмотрения дела ЖСК обратился в арбитражный суд с обжалованием тех же действий. С</w:t>
      </w:r>
      <w:r w:rsidRPr="00091651">
        <w:rPr>
          <w:sz w:val="28"/>
          <w:szCs w:val="28"/>
        </w:rPr>
        <w:t>удами установлено соответствие обжалуемых ЖСК действий нормам действующего жилищного законодательства. В связи с тем, что вступившие в силу судебные акты переоценке в порядке Закона о защите конкуренции не подлежат, рассмотрение дела было прекращено.</w:t>
      </w:r>
    </w:p>
    <w:p w:rsidR="00054EA6" w:rsidRDefault="00DB642C" w:rsidP="005B1A39">
      <w:pPr>
        <w:pStyle w:val="a9"/>
        <w:widowControl w:val="0"/>
        <w:spacing w:before="0" w:beforeAutospacing="0" w:after="0"/>
        <w:ind w:firstLine="708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С начала 2021 года в отдел контроля органов власти на рассмотрение поступило </w:t>
      </w:r>
      <w:r w:rsidR="00054EA6">
        <w:rPr>
          <w:sz w:val="28"/>
          <w:szCs w:val="28"/>
        </w:rPr>
        <w:t>116</w:t>
      </w:r>
      <w:r w:rsidRPr="00F84852">
        <w:rPr>
          <w:sz w:val="28"/>
          <w:szCs w:val="28"/>
        </w:rPr>
        <w:t xml:space="preserve"> заявлени</w:t>
      </w:r>
      <w:r w:rsidR="00054EA6">
        <w:rPr>
          <w:sz w:val="28"/>
          <w:szCs w:val="28"/>
        </w:rPr>
        <w:t>й</w:t>
      </w:r>
      <w:r w:rsidRPr="00F84852">
        <w:rPr>
          <w:sz w:val="28"/>
          <w:szCs w:val="28"/>
        </w:rPr>
        <w:t xml:space="preserve"> Комитета имущественных отношений о даче согласия на предоставление государственной преференции</w:t>
      </w:r>
      <w:r w:rsidR="00054EA6">
        <w:rPr>
          <w:sz w:val="28"/>
          <w:szCs w:val="28"/>
        </w:rPr>
        <w:t>.</w:t>
      </w:r>
    </w:p>
    <w:p w:rsidR="00DB642C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Рассмотрено 55 заявлений, остальные в стадии рассмотрения.</w:t>
      </w:r>
    </w:p>
    <w:p w:rsidR="00A413DA" w:rsidRPr="00F84852" w:rsidRDefault="00A413DA" w:rsidP="00A413DA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По результата</w:t>
      </w:r>
      <w:r>
        <w:rPr>
          <w:sz w:val="28"/>
          <w:szCs w:val="28"/>
        </w:rPr>
        <w:t>м рассмотрения заявлений принято</w:t>
      </w:r>
      <w:r w:rsidRPr="00F84852">
        <w:rPr>
          <w:sz w:val="28"/>
          <w:szCs w:val="28"/>
        </w:rPr>
        <w:t>:</w:t>
      </w:r>
    </w:p>
    <w:p w:rsidR="00A413DA" w:rsidRPr="00F84852" w:rsidRDefault="00A413DA" w:rsidP="00A413DA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40 решений об отказе в связи с тем, что </w:t>
      </w:r>
      <w:r w:rsidRPr="00F84852">
        <w:rPr>
          <w:bCs/>
          <w:sz w:val="28"/>
          <w:szCs w:val="28"/>
        </w:rPr>
        <w:t>преференция не соответствует целям, указанным в части 1 статьи 19 Закона о защите конкуренции</w:t>
      </w:r>
      <w:r>
        <w:rPr>
          <w:bCs/>
          <w:sz w:val="28"/>
          <w:szCs w:val="28"/>
        </w:rPr>
        <w:t>,</w:t>
      </w:r>
      <w:r w:rsidRPr="00F84852">
        <w:rPr>
          <w:bCs/>
          <w:sz w:val="28"/>
          <w:szCs w:val="28"/>
        </w:rPr>
        <w:t xml:space="preserve"> и её предоставление приведёт к недопущению конкуренции за право владения/пользования указанным </w:t>
      </w:r>
      <w:r>
        <w:rPr>
          <w:bCs/>
          <w:sz w:val="28"/>
          <w:szCs w:val="28"/>
        </w:rPr>
        <w:t>государственным имуществом, в том числе</w:t>
      </w:r>
      <w:r w:rsidRPr="00F84852">
        <w:rPr>
          <w:bCs/>
          <w:sz w:val="28"/>
          <w:szCs w:val="28"/>
        </w:rPr>
        <w:t xml:space="preserve"> 16 отказов в связи с несоответствием цели социального обеспечения, 24 – целям поддержки субъектов малого и среднего предпринимательства.</w:t>
      </w:r>
    </w:p>
    <w:p w:rsidR="00A413DA" w:rsidRPr="00F84852" w:rsidRDefault="00A413DA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11 решений о даче согласия на предоставление преференции в целях развития образования, науки, культуры, физкультуры, социального обеспечения, охраны здоровья. Во всех случаях дачи согласия на предоставление преференции вводятся ограничения по срокам и целям преференции, также устанавливается запрет на передачу прав третьим лицам.</w:t>
      </w:r>
      <w:r w:rsidRPr="00F84852" w:rsidDel="00205D87">
        <w:rPr>
          <w:sz w:val="28"/>
          <w:szCs w:val="28"/>
        </w:rPr>
        <w:t xml:space="preserve"> 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В Санкт-Петербурге во всех случаях преференция испрашивается в форме передачи государственного имущества в аренду/безвозмездное пользование без </w:t>
      </w:r>
      <w:r w:rsidR="00A413DA">
        <w:rPr>
          <w:sz w:val="28"/>
          <w:szCs w:val="28"/>
        </w:rPr>
        <w:t xml:space="preserve">проведения </w:t>
      </w:r>
      <w:r w:rsidRPr="00F84852">
        <w:rPr>
          <w:sz w:val="28"/>
          <w:szCs w:val="28"/>
        </w:rPr>
        <w:t>торгов.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Законом о защите конкуренции приведен исчерпывающий перечень целей, для реализации которых могут предоставляться преференции.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Федеральная антимонопольная служба </w:t>
      </w:r>
      <w:r w:rsidR="005B1A39">
        <w:rPr>
          <w:sz w:val="28"/>
          <w:szCs w:val="28"/>
        </w:rPr>
        <w:t>разделила полномочия по согласованию предоставления преференций</w:t>
      </w:r>
      <w:r w:rsidRPr="00F84852">
        <w:rPr>
          <w:sz w:val="28"/>
          <w:szCs w:val="28"/>
        </w:rPr>
        <w:t xml:space="preserve">. </w:t>
      </w:r>
      <w:r w:rsidR="005B1A39">
        <w:rPr>
          <w:sz w:val="28"/>
          <w:szCs w:val="28"/>
        </w:rPr>
        <w:t>Так, це</w:t>
      </w:r>
      <w:r w:rsidR="00A413DA">
        <w:rPr>
          <w:sz w:val="28"/>
          <w:szCs w:val="28"/>
        </w:rPr>
        <w:t>нтральный аппарат рассматривает</w:t>
      </w:r>
      <w:r w:rsidRPr="00F84852">
        <w:rPr>
          <w:sz w:val="28"/>
          <w:szCs w:val="28"/>
        </w:rPr>
        <w:t>: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>все преференции федерального органа государственной власти;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преференции в отношении недвижимого имущества суммарно площадью более 500 </w:t>
      </w:r>
      <w:proofErr w:type="spellStart"/>
      <w:r w:rsidRPr="00F84852">
        <w:rPr>
          <w:sz w:val="28"/>
          <w:szCs w:val="28"/>
        </w:rPr>
        <w:t>кв.м</w:t>
      </w:r>
      <w:proofErr w:type="spellEnd"/>
      <w:r w:rsidRPr="00F84852">
        <w:rPr>
          <w:sz w:val="28"/>
          <w:szCs w:val="28"/>
        </w:rPr>
        <w:t>;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sz w:val="28"/>
          <w:szCs w:val="28"/>
        </w:rPr>
      </w:pPr>
      <w:r w:rsidRPr="00F84852">
        <w:rPr>
          <w:sz w:val="28"/>
          <w:szCs w:val="28"/>
        </w:rPr>
        <w:t xml:space="preserve">преференции в отношении недвижимого имущества, отнесенного к объектам культурного наследия народов Российской Федерации общей площадью 100 </w:t>
      </w:r>
      <w:proofErr w:type="spellStart"/>
      <w:r w:rsidRPr="00F84852">
        <w:rPr>
          <w:sz w:val="28"/>
          <w:szCs w:val="28"/>
        </w:rPr>
        <w:t>кв.м</w:t>
      </w:r>
      <w:proofErr w:type="spellEnd"/>
      <w:r w:rsidRPr="00F84852">
        <w:rPr>
          <w:sz w:val="28"/>
          <w:szCs w:val="28"/>
        </w:rPr>
        <w:t xml:space="preserve"> и более.</w:t>
      </w:r>
    </w:p>
    <w:p w:rsidR="00DB642C" w:rsidRPr="00F84852" w:rsidRDefault="00DB642C" w:rsidP="00DB642C">
      <w:pPr>
        <w:pStyle w:val="a9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F84852">
        <w:rPr>
          <w:sz w:val="28"/>
          <w:szCs w:val="28"/>
        </w:rPr>
        <w:t>Также Федеральная антимонопольная служба изложила свою позицию относительно порядка предоставления преференции субъектам малого и среднего предпринимательства, которая заключается в том, что, и</w:t>
      </w:r>
      <w:r w:rsidRPr="00F84852">
        <w:rPr>
          <w:color w:val="000000"/>
          <w:sz w:val="28"/>
          <w:szCs w:val="28"/>
        </w:rPr>
        <w:t xml:space="preserve">сходя из совокупности норм Закона о защите конкуренции, предоставление преференции в целях поддержки субъектов </w:t>
      </w:r>
      <w:r w:rsidRPr="00F84852">
        <w:rPr>
          <w:sz w:val="28"/>
          <w:szCs w:val="28"/>
        </w:rPr>
        <w:t>малого и среднего предпринимательства</w:t>
      </w:r>
      <w:r w:rsidRPr="00F84852" w:rsidDel="00F84852">
        <w:rPr>
          <w:color w:val="000000"/>
          <w:sz w:val="28"/>
          <w:szCs w:val="28"/>
        </w:rPr>
        <w:t xml:space="preserve"> </w:t>
      </w:r>
      <w:r w:rsidRPr="00F84852">
        <w:rPr>
          <w:color w:val="000000"/>
          <w:sz w:val="28"/>
          <w:szCs w:val="28"/>
        </w:rPr>
        <w:t xml:space="preserve">должна </w:t>
      </w:r>
      <w:r w:rsidRPr="00F84852">
        <w:rPr>
          <w:color w:val="000000"/>
          <w:sz w:val="28"/>
          <w:szCs w:val="28"/>
        </w:rPr>
        <w:lastRenderedPageBreak/>
        <w:t xml:space="preserve">осуществляться исключительно в соответствии с </w:t>
      </w:r>
      <w:r w:rsidRPr="00880ABC">
        <w:rPr>
          <w:rStyle w:val="ab"/>
          <w:i w:val="0"/>
          <w:sz w:val="28"/>
          <w:szCs w:val="28"/>
        </w:rPr>
        <w:t>программой поддержки субъектов малого и среднего предпринимательства</w:t>
      </w:r>
      <w:r w:rsidRPr="00F84852">
        <w:rPr>
          <w:color w:val="000000"/>
          <w:sz w:val="28"/>
          <w:szCs w:val="28"/>
        </w:rPr>
        <w:t>.</w:t>
      </w:r>
    </w:p>
    <w:p w:rsidR="00DB642C" w:rsidRPr="00880ABC" w:rsidRDefault="00880ABC" w:rsidP="00DB642C">
      <w:pPr>
        <w:pStyle w:val="a9"/>
        <w:spacing w:before="0" w:beforeAutospacing="0" w:after="0"/>
        <w:ind w:firstLine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Санкт-Петербургское УФАС России</w:t>
      </w:r>
      <w:r w:rsidR="00DB642C" w:rsidRPr="00880ABC">
        <w:rPr>
          <w:rStyle w:val="aa"/>
          <w:b w:val="0"/>
          <w:sz w:val="28"/>
          <w:szCs w:val="28"/>
        </w:rPr>
        <w:t xml:space="preserve"> взаимодействует в Комитетом имущественных отношений по вопросу</w:t>
      </w:r>
      <w:r w:rsidR="00DB642C" w:rsidRPr="00880ABC">
        <w:rPr>
          <w:rStyle w:val="ab"/>
          <w:i w:val="0"/>
          <w:sz w:val="28"/>
          <w:szCs w:val="28"/>
        </w:rPr>
        <w:t xml:space="preserve"> защиты прав </w:t>
      </w:r>
      <w:r w:rsidR="00DB642C" w:rsidRPr="00880ABC">
        <w:rPr>
          <w:sz w:val="28"/>
          <w:szCs w:val="28"/>
        </w:rPr>
        <w:t>субъектов малого и среднего предпринимательства</w:t>
      </w:r>
      <w:r w:rsidR="00DB642C" w:rsidRPr="00880ABC" w:rsidDel="00F84852">
        <w:rPr>
          <w:rStyle w:val="ab"/>
          <w:i w:val="0"/>
          <w:sz w:val="28"/>
          <w:szCs w:val="28"/>
        </w:rPr>
        <w:t xml:space="preserve"> </w:t>
      </w:r>
      <w:r w:rsidR="00DB642C" w:rsidRPr="00880ABC">
        <w:rPr>
          <w:rStyle w:val="ab"/>
          <w:i w:val="0"/>
          <w:sz w:val="28"/>
          <w:szCs w:val="28"/>
        </w:rPr>
        <w:t>путем создания механизма, необходимого для полноценной работы программы</w:t>
      </w:r>
      <w:r w:rsidR="00A413DA">
        <w:rPr>
          <w:rStyle w:val="ab"/>
          <w:i w:val="0"/>
          <w:sz w:val="28"/>
          <w:szCs w:val="28"/>
        </w:rPr>
        <w:t xml:space="preserve"> поддержки предпринимательства.</w:t>
      </w:r>
    </w:p>
    <w:p w:rsidR="00A413DA" w:rsidRPr="00CA07FB" w:rsidRDefault="00E03AD4" w:rsidP="00A413DA">
      <w:pPr>
        <w:ind w:firstLine="709"/>
        <w:jc w:val="both"/>
        <w:rPr>
          <w:szCs w:val="28"/>
        </w:rPr>
      </w:pPr>
      <w:r>
        <w:rPr>
          <w:szCs w:val="28"/>
        </w:rPr>
        <w:t>По нашему мнению</w:t>
      </w:r>
      <w:r w:rsidR="00A413DA" w:rsidRPr="00CA07FB">
        <w:rPr>
          <w:szCs w:val="28"/>
        </w:rPr>
        <w:t>, приоритетным способом реализации права аренды государственного имущества, является проведение торгов, как единственного способа определить актуальную рыночную цену</w:t>
      </w:r>
      <w:r w:rsidR="00A413DA">
        <w:rPr>
          <w:szCs w:val="28"/>
        </w:rPr>
        <w:t xml:space="preserve"> права</w:t>
      </w:r>
      <w:r w:rsidR="00A413DA" w:rsidRPr="00CA07FB">
        <w:rPr>
          <w:szCs w:val="28"/>
        </w:rPr>
        <w:t xml:space="preserve"> аренды и выявить потенциальных арендаторов.</w:t>
      </w:r>
    </w:p>
    <w:p w:rsidR="00A413DA" w:rsidRDefault="00A413DA" w:rsidP="00A413DA">
      <w:pPr>
        <w:ind w:firstLine="709"/>
        <w:jc w:val="both"/>
        <w:rPr>
          <w:szCs w:val="28"/>
        </w:rPr>
      </w:pPr>
      <w:r w:rsidRPr="00CA07FB">
        <w:rPr>
          <w:szCs w:val="28"/>
        </w:rPr>
        <w:t>Вместе с тем, в случае отсутствия заявок на участие в торгах, управление считает целесообразным поиск арендатора и заключение договора аренды путем предоставления преференции (без торгов).</w:t>
      </w:r>
    </w:p>
    <w:p w:rsidR="00E03AD4" w:rsidRPr="00E03AD4" w:rsidRDefault="00E03AD4" w:rsidP="00A413DA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отмечает последовательный, единообразный подход органов исполнительной власти Санкт-Петербурга к осуществлению своих полномочий, основанный на совместно выработанной, как административной, так и судебной </w:t>
      </w:r>
      <w:r w:rsidR="009D2D46">
        <w:rPr>
          <w:szCs w:val="28"/>
        </w:rPr>
        <w:t>практике, что подтверждается снижением количества</w:t>
      </w:r>
      <w:r w:rsidR="00A436D8">
        <w:rPr>
          <w:szCs w:val="28"/>
        </w:rPr>
        <w:t xml:space="preserve"> нарушений антимонопольного законодательства</w:t>
      </w:r>
      <w:r w:rsidR="009D2D46">
        <w:rPr>
          <w:szCs w:val="28"/>
        </w:rPr>
        <w:t>.</w:t>
      </w:r>
    </w:p>
    <w:p w:rsidR="00DB642C" w:rsidRPr="00F84852" w:rsidRDefault="00DB642C" w:rsidP="00DB642C">
      <w:pPr>
        <w:pStyle w:val="a9"/>
        <w:widowControl w:val="0"/>
        <w:spacing w:before="0" w:beforeAutospacing="0" w:after="0"/>
        <w:ind w:firstLine="720"/>
        <w:jc w:val="both"/>
        <w:rPr>
          <w:sz w:val="28"/>
          <w:szCs w:val="28"/>
        </w:rPr>
      </w:pPr>
    </w:p>
    <w:p w:rsidR="00AE29A3" w:rsidRPr="00DB642C" w:rsidRDefault="00AE29A3" w:rsidP="00DB642C"/>
    <w:sectPr w:rsidR="00AE29A3" w:rsidRPr="00DB642C" w:rsidSect="00552269">
      <w:headerReference w:type="even" r:id="rId7"/>
      <w:headerReference w:type="default" r:id="rId8"/>
      <w:footerReference w:type="even" r:id="rId9"/>
      <w:pgSz w:w="11906" w:h="16838" w:code="9"/>
      <w:pgMar w:top="851" w:right="851" w:bottom="1134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00" w:rsidRDefault="00054EA6">
      <w:r>
        <w:separator/>
      </w:r>
    </w:p>
  </w:endnote>
  <w:endnote w:type="continuationSeparator" w:id="0">
    <w:p w:rsidR="00436C00" w:rsidRDefault="000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DB642C" w:rsidP="00CE193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1A1FCA" w:rsidRDefault="00D77E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00" w:rsidRDefault="00054EA6">
      <w:r>
        <w:separator/>
      </w:r>
    </w:p>
  </w:footnote>
  <w:footnote w:type="continuationSeparator" w:id="0">
    <w:p w:rsidR="00436C00" w:rsidRDefault="0005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Default="00DB642C" w:rsidP="00B80E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1A1FCA" w:rsidRDefault="00D77E4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CA" w:rsidRPr="00A02FF1" w:rsidRDefault="00DB642C" w:rsidP="00A02FF1">
    <w:pPr>
      <w:pStyle w:val="a4"/>
      <w:jc w:val="center"/>
      <w:rPr>
        <w:sz w:val="20"/>
      </w:rPr>
    </w:pPr>
    <w:r w:rsidRPr="00A02FF1">
      <w:rPr>
        <w:sz w:val="20"/>
      </w:rPr>
      <w:fldChar w:fldCharType="begin"/>
    </w:r>
    <w:r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D77E4A">
      <w:rPr>
        <w:noProof/>
        <w:sz w:val="20"/>
      </w:rPr>
      <w:t>4</w:t>
    </w:r>
    <w:r w:rsidRPr="00A02FF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7F2"/>
    <w:multiLevelType w:val="hybridMultilevel"/>
    <w:tmpl w:val="96ACB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7CC2795"/>
    <w:multiLevelType w:val="hybridMultilevel"/>
    <w:tmpl w:val="6D28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6"/>
    <w:rsid w:val="00054EA6"/>
    <w:rsid w:val="00093369"/>
    <w:rsid w:val="00094EB6"/>
    <w:rsid w:val="00206188"/>
    <w:rsid w:val="00343347"/>
    <w:rsid w:val="003A481A"/>
    <w:rsid w:val="00436C00"/>
    <w:rsid w:val="00516A3A"/>
    <w:rsid w:val="005B1A39"/>
    <w:rsid w:val="00880ABC"/>
    <w:rsid w:val="009A6320"/>
    <w:rsid w:val="009D2D46"/>
    <w:rsid w:val="00A413DA"/>
    <w:rsid w:val="00A436D8"/>
    <w:rsid w:val="00AE29A3"/>
    <w:rsid w:val="00C0081E"/>
    <w:rsid w:val="00C3106E"/>
    <w:rsid w:val="00CB2D3E"/>
    <w:rsid w:val="00D77E4A"/>
    <w:rsid w:val="00DB642C"/>
    <w:rsid w:val="00E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D25"/>
  <w15:chartTrackingRefBased/>
  <w15:docId w15:val="{1C1F54F3-AB1D-487E-A3F5-17B8FF6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B642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4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DB642C"/>
    <w:rPr>
      <w:rFonts w:cs="Times New Roman"/>
    </w:rPr>
  </w:style>
  <w:style w:type="paragraph" w:styleId="a7">
    <w:name w:val="footer"/>
    <w:basedOn w:val="a"/>
    <w:link w:val="a8"/>
    <w:uiPriority w:val="99"/>
    <w:rsid w:val="00DB642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DB642C"/>
    <w:pPr>
      <w:spacing w:before="100" w:beforeAutospacing="1" w:after="119"/>
    </w:pPr>
    <w:rPr>
      <w:sz w:val="24"/>
      <w:szCs w:val="24"/>
    </w:rPr>
  </w:style>
  <w:style w:type="character" w:styleId="aa">
    <w:name w:val="Strong"/>
    <w:basedOn w:val="a0"/>
    <w:uiPriority w:val="22"/>
    <w:qFormat/>
    <w:rsid w:val="00DB642C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DB6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Валерий Дмитриевич</dc:creator>
  <cp:keywords/>
  <dc:description/>
  <cp:lastModifiedBy>Марьина Светлана Владимировна</cp:lastModifiedBy>
  <cp:revision>9</cp:revision>
  <dcterms:created xsi:type="dcterms:W3CDTF">2021-10-07T15:04:00Z</dcterms:created>
  <dcterms:modified xsi:type="dcterms:W3CDTF">2021-10-12T11:22:00Z</dcterms:modified>
</cp:coreProperties>
</file>